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E819E0">
      <w:pPr>
        <w:jc w:val="center"/>
        <w:rPr>
          <w:rFonts w:ascii="楷体" w:hAnsi="楷体" w:eastAsia="楷体"/>
          <w:sz w:val="72"/>
          <w:szCs w:val="72"/>
        </w:rPr>
      </w:pPr>
    </w:p>
    <w:p w14:paraId="6FCAAFC1">
      <w:pPr>
        <w:jc w:val="center"/>
        <w:rPr>
          <w:rFonts w:ascii="楷体" w:hAnsi="楷体" w:eastAsia="楷体"/>
          <w:sz w:val="72"/>
          <w:szCs w:val="72"/>
        </w:rPr>
      </w:pPr>
    </w:p>
    <w:p w14:paraId="34A5FC2C">
      <w:pPr>
        <w:jc w:val="center"/>
        <w:rPr>
          <w:rFonts w:ascii="楷体" w:hAnsi="楷体" w:eastAsia="楷体"/>
          <w:sz w:val="72"/>
          <w:szCs w:val="72"/>
        </w:rPr>
      </w:pPr>
    </w:p>
    <w:p w14:paraId="62441B7B">
      <w:pPr>
        <w:jc w:val="center"/>
        <w:rPr>
          <w:rFonts w:ascii="楷体" w:hAnsi="楷体" w:eastAsia="楷体"/>
          <w:sz w:val="72"/>
          <w:szCs w:val="72"/>
        </w:rPr>
      </w:pPr>
      <w:bookmarkStart w:id="0" w:name="_Toc80027500"/>
      <w:bookmarkStart w:id="1" w:name="_Toc82260106"/>
      <w:bookmarkStart w:id="2" w:name="_Toc82300109"/>
      <w:r>
        <w:rPr>
          <w:rFonts w:hint="eastAsia" w:ascii="楷体" w:hAnsi="楷体" w:eastAsia="楷体"/>
          <w:sz w:val="72"/>
          <w:szCs w:val="72"/>
        </w:rPr>
        <w:t>资格复核管理平台</w:t>
      </w:r>
      <w:bookmarkEnd w:id="0"/>
      <w:bookmarkEnd w:id="1"/>
      <w:bookmarkStart w:id="3" w:name="_Toc80027501"/>
      <w:bookmarkStart w:id="4" w:name="_Toc82260107"/>
    </w:p>
    <w:p w14:paraId="3F0478C9">
      <w:pPr>
        <w:jc w:val="center"/>
        <w:rPr>
          <w:rFonts w:ascii="楷体" w:hAnsi="楷体" w:eastAsia="楷体"/>
          <w:sz w:val="56"/>
          <w:szCs w:val="56"/>
        </w:rPr>
      </w:pPr>
      <w:r>
        <w:rPr>
          <w:rFonts w:hint="eastAsia" w:ascii="楷体" w:hAnsi="楷体" w:eastAsia="楷体"/>
          <w:sz w:val="56"/>
          <w:szCs w:val="56"/>
        </w:rPr>
        <w:t>学院客户端手册</w:t>
      </w:r>
      <w:bookmarkEnd w:id="2"/>
      <w:bookmarkEnd w:id="3"/>
      <w:bookmarkEnd w:id="4"/>
    </w:p>
    <w:p w14:paraId="6D35981B">
      <w:pPr>
        <w:jc w:val="center"/>
        <w:rPr>
          <w:rFonts w:ascii="楷体" w:hAnsi="楷体" w:eastAsia="楷体"/>
          <w:sz w:val="32"/>
          <w:szCs w:val="32"/>
        </w:rPr>
      </w:pPr>
    </w:p>
    <w:p w14:paraId="7E12F13D">
      <w:pPr>
        <w:rPr>
          <w:rFonts w:ascii="楷体" w:hAnsi="楷体" w:eastAsia="楷体"/>
          <w:sz w:val="32"/>
          <w:szCs w:val="32"/>
        </w:rPr>
      </w:pPr>
    </w:p>
    <w:p w14:paraId="020DDCC3">
      <w:pPr>
        <w:jc w:val="center"/>
        <w:rPr>
          <w:rFonts w:ascii="楷体" w:hAnsi="楷体" w:eastAsia="楷体"/>
          <w:sz w:val="32"/>
          <w:szCs w:val="32"/>
        </w:rPr>
      </w:pPr>
    </w:p>
    <w:p w14:paraId="2E954E02">
      <w:pPr>
        <w:jc w:val="center"/>
        <w:rPr>
          <w:rFonts w:ascii="楷体" w:hAnsi="楷体" w:eastAsia="楷体"/>
          <w:sz w:val="32"/>
          <w:szCs w:val="32"/>
        </w:rPr>
      </w:pPr>
    </w:p>
    <w:p w14:paraId="5E92040F">
      <w:pPr>
        <w:jc w:val="center"/>
        <w:rPr>
          <w:rFonts w:ascii="楷体" w:hAnsi="楷体" w:eastAsia="楷体"/>
          <w:sz w:val="32"/>
          <w:szCs w:val="32"/>
        </w:rPr>
      </w:pPr>
    </w:p>
    <w:p w14:paraId="38980DE6">
      <w:pPr>
        <w:jc w:val="center"/>
        <w:rPr>
          <w:rFonts w:ascii="楷体" w:hAnsi="楷体" w:eastAsia="楷体"/>
          <w:sz w:val="32"/>
          <w:szCs w:val="32"/>
        </w:rPr>
      </w:pPr>
    </w:p>
    <w:p w14:paraId="63596CDD">
      <w:pPr>
        <w:jc w:val="center"/>
        <w:rPr>
          <w:rFonts w:ascii="楷体" w:hAnsi="楷体" w:eastAsia="楷体"/>
          <w:sz w:val="32"/>
          <w:szCs w:val="32"/>
        </w:rPr>
      </w:pPr>
    </w:p>
    <w:p w14:paraId="6B6ED44A">
      <w:pPr>
        <w:jc w:val="center"/>
        <w:rPr>
          <w:rFonts w:ascii="楷体" w:hAnsi="楷体" w:eastAsia="楷体"/>
          <w:sz w:val="32"/>
          <w:szCs w:val="32"/>
        </w:rPr>
      </w:pPr>
    </w:p>
    <w:p w14:paraId="3309D23D">
      <w:pPr>
        <w:ind w:left="4393" w:leftChars="2092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版本：</w:t>
      </w:r>
      <w:r>
        <w:rPr>
          <w:rFonts w:ascii="楷体" w:hAnsi="楷体" w:eastAsia="楷体"/>
          <w:sz w:val="32"/>
          <w:szCs w:val="32"/>
        </w:rPr>
        <w:t>V2.0</w:t>
      </w:r>
    </w:p>
    <w:p w14:paraId="04D07D56">
      <w:pPr>
        <w:ind w:left="4393" w:leftChars="2092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文档发布日期：2</w:t>
      </w:r>
      <w:r>
        <w:rPr>
          <w:rFonts w:ascii="楷体" w:hAnsi="楷体" w:eastAsia="楷体"/>
          <w:sz w:val="32"/>
          <w:szCs w:val="32"/>
        </w:rPr>
        <w:t>022/8</w:t>
      </w:r>
      <w:r>
        <w:rPr>
          <w:rFonts w:hint="eastAsia" w:ascii="楷体" w:hAnsi="楷体" w:eastAsia="楷体"/>
          <w:sz w:val="32"/>
          <w:szCs w:val="32"/>
        </w:rPr>
        <w:t>/</w:t>
      </w:r>
      <w:r>
        <w:rPr>
          <w:rFonts w:ascii="楷体" w:hAnsi="楷体" w:eastAsia="楷体"/>
          <w:sz w:val="32"/>
          <w:szCs w:val="32"/>
        </w:rPr>
        <w:t>27</w:t>
      </w:r>
    </w:p>
    <w:p w14:paraId="62F9BEA8">
      <w:pPr>
        <w:ind w:left="4393" w:leftChars="2092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陕西勋德信息技术有限公司</w:t>
      </w:r>
    </w:p>
    <w:sdt>
      <w:sdtPr>
        <w:rPr>
          <w:rFonts w:asciiTheme="minorHAnsi" w:hAnsiTheme="minorHAnsi" w:eastAsiaTheme="minorEastAsia" w:cstheme="minorBidi"/>
          <w:color w:val="auto"/>
          <w:kern w:val="2"/>
          <w:sz w:val="21"/>
          <w:szCs w:val="22"/>
          <w:lang w:val="zh-CN"/>
        </w:rPr>
        <w:id w:val="899787810"/>
        <w:docPartObj>
          <w:docPartGallery w:val="Table of Contents"/>
          <w:docPartUnique/>
        </w:docPartObj>
      </w:sdtPr>
      <w:sdtEndPr>
        <w:rPr>
          <w:rFonts w:asciiTheme="minorHAnsi" w:hAnsiTheme="minorHAnsi" w:eastAsiaTheme="minorEastAsia" w:cstheme="minorBidi"/>
          <w:b/>
          <w:bCs/>
          <w:color w:val="auto"/>
          <w:kern w:val="2"/>
          <w:sz w:val="21"/>
          <w:szCs w:val="22"/>
          <w:lang w:val="zh-CN"/>
        </w:rPr>
      </w:sdtEndPr>
      <w:sdtContent>
        <w:p w14:paraId="78B45861">
          <w:pPr>
            <w:pStyle w:val="24"/>
            <w:pageBreakBefore/>
            <w:snapToGrid w:val="0"/>
            <w:spacing w:before="0" w:line="240" w:lineRule="auto"/>
            <w:jc w:val="center"/>
          </w:pPr>
          <w:r>
            <w:rPr>
              <w:rFonts w:ascii="楷体" w:hAnsi="楷体" w:eastAsia="楷体"/>
              <w:sz w:val="72"/>
              <w:szCs w:val="72"/>
              <w:lang w:val="zh-CN"/>
            </w:rPr>
            <w:t>目录</w:t>
          </w:r>
          <w:r>
            <w:rPr>
              <w:rFonts w:ascii="楷体" w:hAnsi="楷体" w:eastAsia="楷体"/>
              <w:sz w:val="28"/>
              <w:szCs w:val="28"/>
            </w:rPr>
            <w:fldChar w:fldCharType="begin"/>
          </w:r>
          <w:r>
            <w:rPr>
              <w:rFonts w:ascii="楷体" w:hAnsi="楷体" w:eastAsia="楷体"/>
              <w:sz w:val="28"/>
              <w:szCs w:val="28"/>
            </w:rPr>
            <w:instrText xml:space="preserve"> TOC \o "1-3" \h \z \u </w:instrText>
          </w:r>
          <w:r>
            <w:rPr>
              <w:rFonts w:ascii="楷体" w:hAnsi="楷体" w:eastAsia="楷体"/>
              <w:sz w:val="28"/>
              <w:szCs w:val="28"/>
            </w:rPr>
            <w:fldChar w:fldCharType="separate"/>
          </w:r>
        </w:p>
        <w:p w14:paraId="39AF66C4">
          <w:pPr>
            <w:pStyle w:val="9"/>
            <w:tabs>
              <w:tab w:val="left" w:pos="840"/>
              <w:tab w:val="right" w:leader="dot" w:pos="8302"/>
            </w:tabs>
          </w:pPr>
          <w:r>
            <w:fldChar w:fldCharType="begin"/>
          </w:r>
          <w:r>
            <w:instrText xml:space="preserve"> HYPERLINK \l "_Toc112698144" </w:instrText>
          </w:r>
          <w:r>
            <w:fldChar w:fldCharType="separate"/>
          </w:r>
          <w:r>
            <w:rPr>
              <w:rStyle w:val="15"/>
              <w:rFonts w:ascii="宋体" w:hAnsi="宋体" w:eastAsia="宋体"/>
            </w:rPr>
            <w:t>一、</w:t>
          </w:r>
          <w:r>
            <w:tab/>
          </w:r>
          <w:r>
            <w:rPr>
              <w:rStyle w:val="15"/>
              <w:rFonts w:ascii="宋体" w:hAnsi="宋体" w:eastAsia="宋体"/>
            </w:rPr>
            <w:t>学院客户端操作指导</w:t>
          </w:r>
          <w:r>
            <w:tab/>
          </w:r>
          <w:r>
            <w:fldChar w:fldCharType="begin"/>
          </w:r>
          <w:r>
            <w:instrText xml:space="preserve"> PAGEREF _Toc112698144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19064BD7">
          <w:pPr>
            <w:pStyle w:val="11"/>
            <w:tabs>
              <w:tab w:val="left" w:pos="1050"/>
              <w:tab w:val="right" w:leader="dot" w:pos="8302"/>
            </w:tabs>
          </w:pPr>
          <w:r>
            <w:fldChar w:fldCharType="begin"/>
          </w:r>
          <w:r>
            <w:instrText xml:space="preserve"> HYPERLINK \l "_Toc112698145" </w:instrText>
          </w:r>
          <w:r>
            <w:fldChar w:fldCharType="separate"/>
          </w:r>
          <w:r>
            <w:rPr>
              <w:rStyle w:val="15"/>
              <w:rFonts w:ascii="宋体" w:hAnsi="宋体" w:eastAsia="宋体"/>
            </w:rPr>
            <w:t>1.</w:t>
          </w:r>
          <w:r>
            <w:tab/>
          </w:r>
          <w:r>
            <w:rPr>
              <w:rStyle w:val="15"/>
              <w:rFonts w:ascii="宋体" w:hAnsi="宋体" w:eastAsia="宋体"/>
            </w:rPr>
            <w:t>登录采集平台</w:t>
          </w:r>
          <w:r>
            <w:tab/>
          </w:r>
          <w:r>
            <w:fldChar w:fldCharType="begin"/>
          </w:r>
          <w:r>
            <w:instrText xml:space="preserve"> PAGEREF _Toc112698145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21983A65">
          <w:pPr>
            <w:pStyle w:val="11"/>
            <w:tabs>
              <w:tab w:val="left" w:pos="1050"/>
              <w:tab w:val="right" w:leader="dot" w:pos="8302"/>
            </w:tabs>
          </w:pPr>
          <w:r>
            <w:fldChar w:fldCharType="begin"/>
          </w:r>
          <w:r>
            <w:instrText xml:space="preserve"> HYPERLINK \l "_Toc112698148" </w:instrText>
          </w:r>
          <w:r>
            <w:fldChar w:fldCharType="separate"/>
          </w:r>
          <w:r>
            <w:rPr>
              <w:rStyle w:val="15"/>
              <w:rFonts w:ascii="宋体" w:hAnsi="宋体" w:eastAsia="宋体"/>
            </w:rPr>
            <w:t>2.</w:t>
          </w:r>
          <w:r>
            <w:tab/>
          </w:r>
          <w:r>
            <w:rPr>
              <w:rStyle w:val="15"/>
              <w:rFonts w:ascii="宋体" w:hAnsi="宋体" w:eastAsia="宋体"/>
            </w:rPr>
            <w:t>硬件状态检测</w:t>
          </w:r>
          <w:r>
            <w:tab/>
          </w:r>
          <w:r>
            <w:fldChar w:fldCharType="begin"/>
          </w:r>
          <w:r>
            <w:instrText xml:space="preserve"> PAGEREF _Toc112698148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6804EC83">
          <w:pPr>
            <w:pStyle w:val="6"/>
            <w:tabs>
              <w:tab w:val="left" w:pos="1680"/>
              <w:tab w:val="right" w:leader="dot" w:pos="8302"/>
            </w:tabs>
          </w:pPr>
          <w:r>
            <w:fldChar w:fldCharType="begin"/>
          </w:r>
          <w:r>
            <w:instrText xml:space="preserve"> HYPERLINK \l "_Toc112698151" </w:instrText>
          </w:r>
          <w:r>
            <w:fldChar w:fldCharType="separate"/>
          </w:r>
          <w:r>
            <w:rPr>
              <w:rStyle w:val="15"/>
              <w:rFonts w:ascii="宋体" w:hAnsi="宋体" w:eastAsia="宋体"/>
            </w:rPr>
            <w:t>2.1.</w:t>
          </w:r>
          <w:r>
            <w:tab/>
          </w:r>
          <w:r>
            <w:rPr>
              <w:rStyle w:val="15"/>
              <w:rFonts w:ascii="宋体" w:hAnsi="宋体" w:eastAsia="宋体"/>
            </w:rPr>
            <w:t>读卡器插件安装</w:t>
          </w:r>
          <w:r>
            <w:tab/>
          </w:r>
          <w:r>
            <w:fldChar w:fldCharType="begin"/>
          </w:r>
          <w:r>
            <w:instrText xml:space="preserve"> PAGEREF _Toc112698151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1FF243CB">
          <w:pPr>
            <w:pStyle w:val="6"/>
            <w:tabs>
              <w:tab w:val="left" w:pos="1680"/>
              <w:tab w:val="right" w:leader="dot" w:pos="8302"/>
            </w:tabs>
          </w:pPr>
          <w:r>
            <w:fldChar w:fldCharType="begin"/>
          </w:r>
          <w:r>
            <w:instrText xml:space="preserve"> HYPERLINK \l "_Toc112698152" </w:instrText>
          </w:r>
          <w:r>
            <w:fldChar w:fldCharType="separate"/>
          </w:r>
          <w:r>
            <w:rPr>
              <w:rStyle w:val="15"/>
              <w:rFonts w:ascii="宋体" w:hAnsi="宋体" w:eastAsia="宋体"/>
            </w:rPr>
            <w:t>2.2.</w:t>
          </w:r>
          <w:r>
            <w:tab/>
          </w:r>
          <w:r>
            <w:rPr>
              <w:rStyle w:val="15"/>
              <w:rFonts w:ascii="宋体" w:hAnsi="宋体" w:eastAsia="宋体"/>
            </w:rPr>
            <w:t>摄像头调试</w:t>
          </w:r>
          <w:r>
            <w:tab/>
          </w:r>
          <w:r>
            <w:fldChar w:fldCharType="begin"/>
          </w:r>
          <w:r>
            <w:instrText xml:space="preserve"> PAGEREF _Toc112698152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2C1F934C">
          <w:pPr>
            <w:pStyle w:val="11"/>
            <w:tabs>
              <w:tab w:val="left" w:pos="1050"/>
              <w:tab w:val="right" w:leader="dot" w:pos="8302"/>
            </w:tabs>
          </w:pPr>
          <w:r>
            <w:fldChar w:fldCharType="begin"/>
          </w:r>
          <w:r>
            <w:instrText xml:space="preserve"> HYPERLINK \l "_Toc112698153" </w:instrText>
          </w:r>
          <w:r>
            <w:fldChar w:fldCharType="separate"/>
          </w:r>
          <w:r>
            <w:rPr>
              <w:rStyle w:val="15"/>
              <w:rFonts w:ascii="宋体" w:hAnsi="宋体" w:eastAsia="宋体"/>
            </w:rPr>
            <w:t>3.</w:t>
          </w:r>
          <w:r>
            <w:tab/>
          </w:r>
          <w:r>
            <w:rPr>
              <w:rStyle w:val="15"/>
              <w:rFonts w:ascii="宋体" w:hAnsi="宋体" w:eastAsia="宋体"/>
            </w:rPr>
            <w:t>信息采集界面布局</w:t>
          </w:r>
          <w:r>
            <w:tab/>
          </w:r>
          <w:r>
            <w:fldChar w:fldCharType="begin"/>
          </w:r>
          <w:r>
            <w:instrText xml:space="preserve"> PAGEREF _Toc112698153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52628833">
          <w:pPr>
            <w:pStyle w:val="11"/>
            <w:tabs>
              <w:tab w:val="left" w:pos="1050"/>
              <w:tab w:val="right" w:leader="dot" w:pos="8302"/>
            </w:tabs>
          </w:pPr>
          <w:r>
            <w:fldChar w:fldCharType="begin"/>
          </w:r>
          <w:r>
            <w:instrText xml:space="preserve"> HYPERLINK \l "_Toc112698154" </w:instrText>
          </w:r>
          <w:r>
            <w:fldChar w:fldCharType="separate"/>
          </w:r>
          <w:r>
            <w:rPr>
              <w:rStyle w:val="15"/>
              <w:rFonts w:ascii="宋体" w:hAnsi="宋体" w:eastAsia="宋体"/>
            </w:rPr>
            <w:t>4.</w:t>
          </w:r>
          <w:r>
            <w:tab/>
          </w:r>
          <w:r>
            <w:rPr>
              <w:rStyle w:val="15"/>
              <w:rFonts w:ascii="宋体" w:hAnsi="宋体" w:eastAsia="宋体"/>
            </w:rPr>
            <w:t>信息采集操作步骤</w:t>
          </w:r>
          <w:r>
            <w:tab/>
          </w:r>
          <w:r>
            <w:fldChar w:fldCharType="begin"/>
          </w:r>
          <w:r>
            <w:instrText xml:space="preserve"> PAGEREF _Toc112698154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290FF235">
          <w:pPr>
            <w:pStyle w:val="11"/>
            <w:tabs>
              <w:tab w:val="left" w:pos="1050"/>
              <w:tab w:val="right" w:leader="dot" w:pos="8302"/>
            </w:tabs>
          </w:pPr>
          <w:r>
            <w:fldChar w:fldCharType="begin"/>
          </w:r>
          <w:r>
            <w:instrText xml:space="preserve"> HYPERLINK \l "_Toc112698155" </w:instrText>
          </w:r>
          <w:r>
            <w:fldChar w:fldCharType="separate"/>
          </w:r>
          <w:r>
            <w:rPr>
              <w:rStyle w:val="15"/>
              <w:rFonts w:ascii="宋体" w:hAnsi="宋体" w:eastAsia="宋体"/>
            </w:rPr>
            <w:t>5.</w:t>
          </w:r>
          <w:r>
            <w:tab/>
          </w:r>
          <w:r>
            <w:rPr>
              <w:rStyle w:val="15"/>
              <w:rFonts w:ascii="宋体" w:hAnsi="宋体" w:eastAsia="宋体"/>
            </w:rPr>
            <w:t>采集结果信息</w:t>
          </w:r>
          <w:r>
            <w:tab/>
          </w:r>
          <w:r>
            <w:fldChar w:fldCharType="begin"/>
          </w:r>
          <w:r>
            <w:instrText xml:space="preserve"> PAGEREF _Toc112698155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 w14:paraId="63CBA163">
          <w:pPr>
            <w:pStyle w:val="11"/>
            <w:tabs>
              <w:tab w:val="left" w:pos="1050"/>
              <w:tab w:val="right" w:leader="dot" w:pos="8302"/>
            </w:tabs>
          </w:pPr>
          <w:r>
            <w:fldChar w:fldCharType="begin"/>
          </w:r>
          <w:r>
            <w:instrText xml:space="preserve"> HYPERLINK \l "_Toc112698156" </w:instrText>
          </w:r>
          <w:r>
            <w:fldChar w:fldCharType="separate"/>
          </w:r>
          <w:r>
            <w:rPr>
              <w:rStyle w:val="15"/>
              <w:rFonts w:ascii="宋体" w:hAnsi="宋体" w:eastAsia="宋体"/>
            </w:rPr>
            <w:t>6.</w:t>
          </w:r>
          <w:r>
            <w:tab/>
          </w:r>
          <w:r>
            <w:rPr>
              <w:rStyle w:val="15"/>
              <w:rFonts w:ascii="宋体" w:hAnsi="宋体" w:eastAsia="宋体"/>
            </w:rPr>
            <w:t>资格审核汇总表导出</w:t>
          </w:r>
          <w:r>
            <w:tab/>
          </w:r>
          <w:r>
            <w:fldChar w:fldCharType="begin"/>
          </w:r>
          <w:r>
            <w:instrText xml:space="preserve"> PAGEREF _Toc112698156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15FB2D68">
          <w:pPr>
            <w:pStyle w:val="11"/>
            <w:tabs>
              <w:tab w:val="left" w:pos="1050"/>
              <w:tab w:val="right" w:leader="dot" w:pos="8302"/>
            </w:tabs>
          </w:pPr>
          <w:r>
            <w:fldChar w:fldCharType="begin"/>
          </w:r>
          <w:r>
            <w:instrText xml:space="preserve"> HYPERLINK \l "_Toc112698157" </w:instrText>
          </w:r>
          <w:r>
            <w:fldChar w:fldCharType="separate"/>
          </w:r>
          <w:r>
            <w:rPr>
              <w:rStyle w:val="15"/>
              <w:rFonts w:ascii="宋体" w:hAnsi="宋体" w:eastAsia="宋体"/>
            </w:rPr>
            <w:t>7.</w:t>
          </w:r>
          <w:r>
            <w:tab/>
          </w:r>
          <w:r>
            <w:rPr>
              <w:rStyle w:val="15"/>
              <w:rFonts w:ascii="宋体" w:hAnsi="宋体" w:eastAsia="宋体"/>
            </w:rPr>
            <w:t>资格复查信息表导出</w:t>
          </w:r>
          <w:r>
            <w:tab/>
          </w:r>
          <w:r>
            <w:fldChar w:fldCharType="begin"/>
          </w:r>
          <w:r>
            <w:instrText xml:space="preserve"> PAGEREF _Toc112698157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4FBB4F64">
          <w:pPr>
            <w:snapToGrid w:val="0"/>
          </w:pPr>
          <w:r>
            <w:rPr>
              <w:rFonts w:ascii="楷体" w:hAnsi="楷体" w:eastAsia="楷体"/>
              <w:b/>
              <w:bCs/>
              <w:sz w:val="28"/>
              <w:szCs w:val="28"/>
              <w:lang w:val="zh-CN"/>
            </w:rPr>
            <w:fldChar w:fldCharType="end"/>
          </w:r>
        </w:p>
      </w:sdtContent>
    </w:sdt>
    <w:p w14:paraId="346C2236">
      <w:pPr>
        <w:widowControl/>
        <w:jc w:val="left"/>
        <w:rPr>
          <w:rFonts w:ascii="宋体" w:hAnsi="宋体" w:eastAsia="宋体"/>
          <w:b/>
          <w:bCs/>
          <w:kern w:val="28"/>
          <w:sz w:val="32"/>
          <w:szCs w:val="32"/>
        </w:rPr>
      </w:pPr>
      <w:r>
        <w:rPr>
          <w:rFonts w:ascii="宋体" w:hAnsi="宋体" w:eastAsia="宋体"/>
        </w:rPr>
        <w:br w:type="page"/>
      </w:r>
    </w:p>
    <w:p w14:paraId="432F7BFF">
      <w:pPr>
        <w:pStyle w:val="3"/>
        <w:numPr>
          <w:ilvl w:val="0"/>
          <w:numId w:val="1"/>
        </w:numPr>
        <w:spacing w:before="156" w:beforeLines="50" w:after="156" w:afterLines="50" w:line="360" w:lineRule="auto"/>
        <w:rPr>
          <w:rFonts w:ascii="宋体" w:hAnsi="宋体" w:eastAsia="宋体"/>
        </w:rPr>
      </w:pPr>
      <w:bookmarkStart w:id="5" w:name="_Toc112698145"/>
      <w:bookmarkStart w:id="6" w:name="_Toc80027508"/>
      <w:r>
        <w:rPr>
          <w:rFonts w:hint="eastAsia" w:ascii="宋体" w:hAnsi="宋体" w:eastAsia="宋体"/>
        </w:rPr>
        <w:t>登录采集平台</w:t>
      </w:r>
      <w:bookmarkEnd w:id="5"/>
    </w:p>
    <w:p w14:paraId="1ECA7293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打开浏览器输入https://xnzslq.nwafu.edu.cn/zgshgl （</w:t>
      </w:r>
      <w:r>
        <w:rPr>
          <w:rFonts w:ascii="宋体" w:hAnsi="宋体" w:eastAsia="宋体"/>
          <w:sz w:val="24"/>
          <w:szCs w:val="24"/>
        </w:rPr>
        <w:t>IP</w:t>
      </w:r>
      <w:r>
        <w:rPr>
          <w:rFonts w:hint="eastAsia" w:ascii="宋体" w:hAnsi="宋体" w:eastAsia="宋体"/>
          <w:sz w:val="24"/>
          <w:szCs w:val="24"/>
        </w:rPr>
        <w:t>为服务器I</w:t>
      </w:r>
      <w:r>
        <w:rPr>
          <w:rFonts w:ascii="宋体" w:hAnsi="宋体" w:eastAsia="宋体"/>
          <w:sz w:val="24"/>
          <w:szCs w:val="24"/>
        </w:rPr>
        <w:t>P</w:t>
      </w:r>
      <w:r>
        <w:rPr>
          <w:rFonts w:hint="eastAsia" w:ascii="宋体" w:hAnsi="宋体" w:eastAsia="宋体"/>
          <w:sz w:val="24"/>
          <w:szCs w:val="24"/>
        </w:rPr>
        <w:t>地址），开始使用资格复核管理平台，浏览器要求</w:t>
      </w:r>
      <w:r>
        <w:rPr>
          <w:rFonts w:ascii="宋体" w:hAnsi="宋体" w:eastAsia="宋体"/>
          <w:sz w:val="24"/>
          <w:szCs w:val="24"/>
        </w:rPr>
        <w:t>360</w:t>
      </w:r>
      <w:r>
        <w:rPr>
          <w:rFonts w:hint="eastAsia" w:ascii="宋体" w:hAnsi="宋体" w:eastAsia="宋体"/>
          <w:sz w:val="24"/>
          <w:szCs w:val="24"/>
        </w:rPr>
        <w:t>安全浏览器（</w:t>
      </w:r>
      <w:r>
        <w:rPr>
          <w:rFonts w:ascii="宋体" w:hAnsi="宋体" w:eastAsia="宋体"/>
          <w:sz w:val="24"/>
          <w:szCs w:val="24"/>
        </w:rPr>
        <w:t>https://browser.360.cn/se/</w:t>
      </w:r>
      <w:r>
        <w:rPr>
          <w:rFonts w:hint="eastAsia" w:ascii="宋体" w:hAnsi="宋体" w:eastAsia="宋体"/>
          <w:sz w:val="24"/>
          <w:szCs w:val="24"/>
        </w:rPr>
        <w:t>），输入管理员给各学院分配的账户名和密码即可登录。</w:t>
      </w:r>
      <w:bookmarkStart w:id="50" w:name="_GoBack"/>
      <w:bookmarkEnd w:id="50"/>
    </w:p>
    <w:p w14:paraId="648A8117">
      <w:pPr>
        <w:spacing w:line="360" w:lineRule="auto"/>
        <w:ind w:firstLine="482" w:firstLineChars="200"/>
        <w:rPr>
          <w:rFonts w:hint="eastAsia"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资格复查管理平台网址：</w:t>
      </w:r>
    </w:p>
    <w:p w14:paraId="78DC92E4">
      <w:pPr>
        <w:spacing w:line="360" w:lineRule="auto"/>
        <w:ind w:firstLine="482" w:firstLineChars="200"/>
        <w:rPr>
          <w:rFonts w:hint="eastAsia"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https://xnzslq.nwafu.edu.cn/zgshgl</w:t>
      </w:r>
    </w:p>
    <w:p w14:paraId="7CB24EB7">
      <w:pPr>
        <w:spacing w:line="360" w:lineRule="auto"/>
        <w:ind w:firstLine="420" w:firstLineChars="200"/>
      </w:pPr>
      <w:r>
        <w:rPr>
          <w:rFonts w:ascii="宋体" w:hAnsi="宋体" w:eastAsia="宋体"/>
        </w:rPr>
        <w:drawing>
          <wp:inline distT="0" distB="0" distL="0" distR="0">
            <wp:extent cx="5278120" cy="2212975"/>
            <wp:effectExtent l="0" t="0" r="0" b="0"/>
            <wp:docPr id="2" name="图片 2" descr="夜晚的星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夜晚的星空&#10;&#10;描述已自动生成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1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6"/>
    <w:p w14:paraId="58C01835">
      <w:pPr>
        <w:pStyle w:val="21"/>
        <w:keepNext/>
        <w:keepLines/>
        <w:numPr>
          <w:ilvl w:val="0"/>
          <w:numId w:val="2"/>
        </w:numPr>
        <w:spacing w:before="260" w:after="260" w:line="360" w:lineRule="auto"/>
        <w:ind w:firstLineChars="0"/>
        <w:outlineLvl w:val="2"/>
        <w:rPr>
          <w:rFonts w:ascii="宋体" w:hAnsi="宋体" w:eastAsia="宋体"/>
          <w:b/>
          <w:bCs/>
          <w:vanish/>
          <w:sz w:val="32"/>
          <w:szCs w:val="32"/>
        </w:rPr>
      </w:pPr>
      <w:bookmarkStart w:id="7" w:name="_Toc82300123"/>
      <w:bookmarkEnd w:id="7"/>
      <w:bookmarkStart w:id="8" w:name="_Toc82260121"/>
      <w:bookmarkEnd w:id="8"/>
      <w:bookmarkStart w:id="9" w:name="_Toc82344942"/>
      <w:bookmarkEnd w:id="9"/>
      <w:bookmarkStart w:id="10" w:name="_Toc112519037"/>
      <w:bookmarkEnd w:id="10"/>
      <w:bookmarkStart w:id="11" w:name="_Toc82344267"/>
      <w:bookmarkEnd w:id="11"/>
      <w:bookmarkStart w:id="12" w:name="_Toc82300178"/>
      <w:bookmarkEnd w:id="12"/>
      <w:bookmarkStart w:id="13" w:name="_Toc112688094"/>
      <w:bookmarkEnd w:id="13"/>
      <w:bookmarkStart w:id="14" w:name="_Toc112698146"/>
      <w:bookmarkEnd w:id="14"/>
      <w:bookmarkStart w:id="15" w:name="_Toc82340221"/>
      <w:bookmarkEnd w:id="15"/>
      <w:bookmarkStart w:id="16" w:name="_Toc82260080"/>
      <w:bookmarkEnd w:id="16"/>
      <w:bookmarkStart w:id="17" w:name="_Toc82260045"/>
      <w:bookmarkEnd w:id="17"/>
      <w:bookmarkStart w:id="18" w:name="_Toc112518712"/>
      <w:bookmarkEnd w:id="18"/>
    </w:p>
    <w:p w14:paraId="5C6D96A6">
      <w:pPr>
        <w:pStyle w:val="21"/>
        <w:keepNext/>
        <w:keepLines/>
        <w:numPr>
          <w:ilvl w:val="0"/>
          <w:numId w:val="2"/>
        </w:numPr>
        <w:spacing w:before="260" w:after="260" w:line="360" w:lineRule="auto"/>
        <w:ind w:firstLineChars="0"/>
        <w:outlineLvl w:val="2"/>
        <w:rPr>
          <w:rFonts w:ascii="宋体" w:hAnsi="宋体" w:eastAsia="宋体"/>
          <w:b/>
          <w:bCs/>
          <w:vanish/>
          <w:sz w:val="32"/>
          <w:szCs w:val="32"/>
        </w:rPr>
      </w:pPr>
      <w:bookmarkStart w:id="19" w:name="_Toc82260046"/>
      <w:bookmarkEnd w:id="19"/>
      <w:bookmarkStart w:id="20" w:name="_Toc82260122"/>
      <w:bookmarkEnd w:id="20"/>
      <w:bookmarkStart w:id="21" w:name="_Toc82300124"/>
      <w:bookmarkEnd w:id="21"/>
      <w:bookmarkStart w:id="22" w:name="_Toc82300179"/>
      <w:bookmarkEnd w:id="22"/>
      <w:bookmarkStart w:id="23" w:name="_Toc82260081"/>
      <w:bookmarkEnd w:id="23"/>
      <w:bookmarkStart w:id="24" w:name="_Toc112688095"/>
      <w:bookmarkEnd w:id="24"/>
      <w:bookmarkStart w:id="25" w:name="_Toc82340222"/>
      <w:bookmarkEnd w:id="25"/>
      <w:bookmarkStart w:id="26" w:name="_Toc112698147"/>
      <w:bookmarkEnd w:id="26"/>
      <w:bookmarkStart w:id="27" w:name="_Toc82344268"/>
      <w:bookmarkEnd w:id="27"/>
      <w:bookmarkStart w:id="28" w:name="_Toc112519038"/>
      <w:bookmarkEnd w:id="28"/>
      <w:bookmarkStart w:id="29" w:name="_Toc112518713"/>
      <w:bookmarkEnd w:id="29"/>
      <w:bookmarkStart w:id="30" w:name="_Toc82344943"/>
      <w:bookmarkEnd w:id="30"/>
    </w:p>
    <w:p w14:paraId="73393FA2">
      <w:pPr>
        <w:pStyle w:val="3"/>
        <w:numPr>
          <w:ilvl w:val="0"/>
          <w:numId w:val="1"/>
        </w:numPr>
        <w:spacing w:before="156" w:beforeLines="50" w:after="156" w:afterLines="50" w:line="360" w:lineRule="auto"/>
        <w:rPr>
          <w:rFonts w:ascii="宋体" w:hAnsi="宋体" w:eastAsia="宋体"/>
        </w:rPr>
      </w:pPr>
      <w:bookmarkStart w:id="31" w:name="_Toc112698148"/>
      <w:r>
        <w:rPr>
          <w:rFonts w:hint="eastAsia" w:ascii="宋体" w:hAnsi="宋体" w:eastAsia="宋体"/>
        </w:rPr>
        <w:t>硬件状态检测</w:t>
      </w:r>
      <w:bookmarkEnd w:id="31"/>
    </w:p>
    <w:p w14:paraId="764B282D">
      <w:p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</w:rPr>
        <w:tab/>
      </w:r>
      <w:r>
        <w:rPr>
          <w:rFonts w:hint="eastAsia" w:ascii="宋体" w:hAnsi="宋体" w:eastAsia="宋体"/>
          <w:sz w:val="24"/>
          <w:szCs w:val="24"/>
        </w:rPr>
        <w:t xml:space="preserve">打开“信息采集管理”界面，系统提供摄像头和身份证读卡器的状态检测功能，系统未检测到身份证读卡器和摄像头硬件设备，读卡器软件未安装时，均会提示相应的错误信息。 </w:t>
      </w:r>
    </w:p>
    <w:p w14:paraId="3C515024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如下图是身份证读卡器未连接时，或读卡器插件为启动时的提示信息（如未安装读卡器插件，可根据页面提示信息中的链接，下载身份证读卡器插件并安装）。</w:t>
      </w:r>
    </w:p>
    <w:p w14:paraId="167C506B">
      <w:pPr>
        <w:spacing w:line="360" w:lineRule="auto"/>
        <w:rPr>
          <w:rFonts w:ascii="宋体" w:hAnsi="宋体" w:eastAsia="宋体"/>
        </w:rPr>
      </w:pPr>
      <w:r>
        <w:rPr>
          <w:rFonts w:ascii="宋体" w:hAnsi="宋体" w:eastAsia="宋体"/>
        </w:rPr>
        <w:drawing>
          <wp:inline distT="0" distB="0" distL="0" distR="0">
            <wp:extent cx="5278120" cy="2708910"/>
            <wp:effectExtent l="0" t="0" r="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70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C191C8">
      <w:pPr>
        <w:pStyle w:val="21"/>
        <w:keepNext/>
        <w:keepLines/>
        <w:numPr>
          <w:ilvl w:val="0"/>
          <w:numId w:val="3"/>
        </w:numPr>
        <w:spacing w:before="156" w:beforeLines="50" w:after="156" w:afterLines="50" w:line="415" w:lineRule="auto"/>
        <w:ind w:firstLineChars="0"/>
        <w:outlineLvl w:val="2"/>
        <w:rPr>
          <w:rFonts w:ascii="宋体" w:hAnsi="宋体" w:eastAsia="宋体"/>
          <w:b/>
          <w:bCs/>
          <w:vanish/>
          <w:sz w:val="32"/>
          <w:szCs w:val="32"/>
        </w:rPr>
      </w:pPr>
      <w:bookmarkStart w:id="32" w:name="_Toc112688097"/>
      <w:bookmarkEnd w:id="32"/>
      <w:bookmarkStart w:id="33" w:name="_Toc82344945"/>
      <w:bookmarkEnd w:id="33"/>
      <w:bookmarkStart w:id="34" w:name="_Toc112698149"/>
      <w:bookmarkEnd w:id="34"/>
      <w:bookmarkStart w:id="35" w:name="_Toc112519040"/>
      <w:bookmarkEnd w:id="35"/>
      <w:bookmarkStart w:id="36" w:name="_Toc112518715"/>
      <w:bookmarkEnd w:id="36"/>
    </w:p>
    <w:p w14:paraId="1FA4C5FA">
      <w:pPr>
        <w:pStyle w:val="21"/>
        <w:keepNext/>
        <w:keepLines/>
        <w:numPr>
          <w:ilvl w:val="0"/>
          <w:numId w:val="3"/>
        </w:numPr>
        <w:spacing w:before="156" w:beforeLines="50" w:after="156" w:afterLines="50" w:line="415" w:lineRule="auto"/>
        <w:ind w:firstLineChars="0"/>
        <w:outlineLvl w:val="2"/>
        <w:rPr>
          <w:rFonts w:ascii="宋体" w:hAnsi="宋体" w:eastAsia="宋体"/>
          <w:b/>
          <w:bCs/>
          <w:vanish/>
          <w:sz w:val="32"/>
          <w:szCs w:val="32"/>
        </w:rPr>
      </w:pPr>
      <w:bookmarkStart w:id="37" w:name="_Toc82344946"/>
      <w:bookmarkEnd w:id="37"/>
      <w:bookmarkStart w:id="38" w:name="_Toc112518716"/>
      <w:bookmarkEnd w:id="38"/>
      <w:bookmarkStart w:id="39" w:name="_Toc112698150"/>
      <w:bookmarkEnd w:id="39"/>
      <w:bookmarkStart w:id="40" w:name="_Toc112519041"/>
      <w:bookmarkEnd w:id="40"/>
      <w:bookmarkStart w:id="41" w:name="_Toc112688098"/>
      <w:bookmarkEnd w:id="41"/>
    </w:p>
    <w:p w14:paraId="3A25DC75">
      <w:pPr>
        <w:pStyle w:val="4"/>
        <w:numPr>
          <w:ilvl w:val="1"/>
          <w:numId w:val="3"/>
        </w:numPr>
        <w:spacing w:before="156" w:beforeLines="50" w:after="156" w:afterLines="50" w:line="415" w:lineRule="auto"/>
        <w:rPr>
          <w:rFonts w:ascii="宋体" w:hAnsi="宋体" w:eastAsia="宋体"/>
        </w:rPr>
      </w:pPr>
      <w:bookmarkStart w:id="42" w:name="_Toc112698151"/>
      <w:r>
        <w:rPr>
          <w:rFonts w:hint="eastAsia" w:ascii="宋体" w:hAnsi="宋体" w:eastAsia="宋体"/>
        </w:rPr>
        <w:t>读卡器插件安装</w:t>
      </w:r>
      <w:bookmarkEnd w:id="42"/>
    </w:p>
    <w:p w14:paraId="17814471">
      <w:pPr>
        <w:spacing w:line="360" w:lineRule="auto"/>
        <w:ind w:firstLine="482" w:firstLineChars="200"/>
        <w:rPr>
          <w:rFonts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注：首次使用系统需安装读卡器插件</w:t>
      </w:r>
    </w:p>
    <w:p w14:paraId="59874833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根据提示信息中的链接信息，点击【执行下载】下载完成后安装身份证读卡器插件，安装完成后桌面会出现【精伦身份证阅读器插件】</w:t>
      </w:r>
      <w:r>
        <w:rPr>
          <w:rFonts w:hint="eastAsia" w:ascii="宋体" w:hAnsi="宋体" w:eastAsia="宋体"/>
          <w:sz w:val="24"/>
          <w:szCs w:val="24"/>
          <w:lang w:val="zh-CN"/>
        </w:rPr>
        <w:drawing>
          <wp:inline distT="0" distB="0" distL="0" distR="0">
            <wp:extent cx="445770" cy="440690"/>
            <wp:effectExtent l="0" t="0" r="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464" cy="451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sz w:val="24"/>
          <w:szCs w:val="24"/>
        </w:rPr>
        <w:t xml:space="preserve"> 图标，</w:t>
      </w:r>
    </w:p>
    <w:p w14:paraId="5F021CEE">
      <w:pPr>
        <w:spacing w:line="360" w:lineRule="auto"/>
        <w:ind w:firstLine="480" w:firstLineChars="200"/>
        <w:rPr>
          <w:rFonts w:ascii="宋体" w:hAnsi="宋体" w:eastAsia="宋体"/>
        </w:rPr>
      </w:pPr>
      <w:r>
        <w:rPr>
          <w:rFonts w:hint="eastAsia" w:ascii="宋体" w:hAnsi="宋体" w:eastAsia="宋体"/>
          <w:sz w:val="24"/>
          <w:szCs w:val="24"/>
        </w:rPr>
        <w:t>注：完成安装后刷新页面，系统任然提示“未启动读卡插件”，可双击桌面精伦身份证阅读器插件启动程序，启动成功后桌面右下角会出现状态图标。</w:t>
      </w:r>
      <w:r>
        <w:rPr>
          <w:rFonts w:ascii="宋体" w:hAnsi="宋体" w:eastAsia="宋体"/>
        </w:rPr>
        <w:t xml:space="preserve">   </w:t>
      </w:r>
      <w:r>
        <w:rPr>
          <w:rFonts w:hint="eastAsia" w:ascii="宋体" w:hAnsi="宋体" w:eastAsia="宋体"/>
        </w:rPr>
        <w:drawing>
          <wp:inline distT="0" distB="0" distL="0" distR="0">
            <wp:extent cx="5278120" cy="420370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42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CD2B1">
      <w:pPr>
        <w:pStyle w:val="4"/>
        <w:numPr>
          <w:ilvl w:val="1"/>
          <w:numId w:val="3"/>
        </w:numPr>
        <w:spacing w:before="156" w:beforeLines="50" w:after="156" w:afterLines="50" w:line="415" w:lineRule="auto"/>
        <w:rPr>
          <w:rFonts w:ascii="宋体" w:hAnsi="宋体" w:eastAsia="宋体"/>
        </w:rPr>
      </w:pPr>
      <w:bookmarkStart w:id="43" w:name="_Toc112698152"/>
      <w:r>
        <w:rPr>
          <w:rFonts w:hint="eastAsia" w:ascii="宋体" w:hAnsi="宋体" w:eastAsia="宋体"/>
        </w:rPr>
        <w:t>摄像头调试</w:t>
      </w:r>
      <w:bookmarkEnd w:id="43"/>
    </w:p>
    <w:p w14:paraId="0436AE39">
      <w:pPr>
        <w:pStyle w:val="21"/>
        <w:numPr>
          <w:ilvl w:val="0"/>
          <w:numId w:val="4"/>
        </w:numPr>
        <w:spacing w:line="360" w:lineRule="auto"/>
        <w:ind w:left="426" w:firstLineChars="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打开浏览器，地址栏输入：</w:t>
      </w:r>
      <w:r>
        <w:rPr>
          <w:rFonts w:ascii="宋体" w:hAnsi="宋体" w:eastAsia="宋体"/>
          <w:sz w:val="24"/>
          <w:szCs w:val="24"/>
        </w:rPr>
        <w:t xml:space="preserve">chrome://flags/#unsafely-treat-insecure-origin-as-secure </w:t>
      </w:r>
      <w:r>
        <w:rPr>
          <w:rFonts w:hint="eastAsia" w:ascii="宋体" w:hAnsi="宋体" w:eastAsia="宋体"/>
          <w:sz w:val="24"/>
          <w:szCs w:val="24"/>
        </w:rPr>
        <w:t>后回车；</w:t>
      </w:r>
    </w:p>
    <w:p w14:paraId="40C6820B">
      <w:pPr>
        <w:pStyle w:val="21"/>
        <w:numPr>
          <w:ilvl w:val="0"/>
          <w:numId w:val="4"/>
        </w:numPr>
        <w:spacing w:line="360" w:lineRule="auto"/>
        <w:ind w:left="426" w:firstLineChars="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在i</w:t>
      </w:r>
      <w:r>
        <w:rPr>
          <w:rFonts w:ascii="宋体" w:hAnsi="宋体" w:eastAsia="宋体"/>
          <w:sz w:val="24"/>
          <w:szCs w:val="24"/>
        </w:rPr>
        <w:t>nsecure origins treated as secure</w:t>
      </w:r>
      <w:r>
        <w:rPr>
          <w:rFonts w:hint="eastAsia" w:ascii="宋体" w:hAnsi="宋体" w:eastAsia="宋体"/>
          <w:sz w:val="24"/>
          <w:szCs w:val="24"/>
        </w:rPr>
        <w:t>栏输入资格复核系统的地址，并修改为enabled状态后；</w:t>
      </w:r>
    </w:p>
    <w:p w14:paraId="73B2D5A7">
      <w:pPr>
        <w:pStyle w:val="21"/>
        <w:numPr>
          <w:ilvl w:val="0"/>
          <w:numId w:val="4"/>
        </w:numPr>
        <w:spacing w:line="360" w:lineRule="auto"/>
        <w:ind w:left="426" w:firstLineChars="0"/>
        <w:rPr>
          <w:rFonts w:ascii="宋体" w:hAnsi="宋体" w:eastAsia="宋体"/>
          <w:sz w:val="24"/>
          <w:szCs w:val="24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relaunch重新发布</w:t>
      </w:r>
      <w:r>
        <w:rPr>
          <w:rFonts w:hint="eastAsia" w:ascii="Arial" w:hAnsi="Arial" w:cs="Arial"/>
          <w:color w:val="333333"/>
          <w:sz w:val="20"/>
          <w:szCs w:val="20"/>
          <w:shd w:val="clear" w:color="auto" w:fill="FFFFFF"/>
        </w:rPr>
        <w:t>后再次打开浏览器登录系统。</w:t>
      </w:r>
    </w:p>
    <w:p w14:paraId="1A77C8D3">
      <w:pPr>
        <w:spacing w:line="360" w:lineRule="auto"/>
        <w:ind w:left="426"/>
        <w:jc w:val="left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示例如下图： </w:t>
      </w:r>
    </w:p>
    <w:p w14:paraId="005FFE8E">
      <w:pPr>
        <w:spacing w:line="360" w:lineRule="auto"/>
        <w:ind w:left="426"/>
        <w:jc w:val="left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示例中资格复核系统的访问地址是</w:t>
      </w:r>
      <w:r>
        <w:fldChar w:fldCharType="begin"/>
      </w:r>
      <w:r>
        <w:instrText xml:space="preserve"> HYPERLINK "http://192.168.1.103:8080/zgshgl" </w:instrText>
      </w:r>
      <w:r>
        <w:fldChar w:fldCharType="separate"/>
      </w:r>
      <w:r>
        <w:rPr>
          <w:rStyle w:val="15"/>
          <w:rFonts w:ascii="宋体" w:hAnsi="宋体" w:eastAsia="宋体"/>
          <w:sz w:val="24"/>
          <w:szCs w:val="24"/>
        </w:rPr>
        <w:t>http://192.168.1.103:8080/zgshgl</w:t>
      </w:r>
      <w:r>
        <w:rPr>
          <w:rStyle w:val="15"/>
          <w:rFonts w:ascii="宋体" w:hAnsi="宋体" w:eastAsia="宋体"/>
          <w:sz w:val="24"/>
          <w:szCs w:val="24"/>
        </w:rPr>
        <w:fldChar w:fldCharType="end"/>
      </w:r>
      <w:r>
        <w:rPr>
          <w:rFonts w:hint="eastAsia" w:ascii="宋体" w:hAnsi="宋体" w:eastAsia="宋体"/>
          <w:sz w:val="24"/>
          <w:szCs w:val="24"/>
        </w:rPr>
        <w:t>，具体配置值以资格复核系统实际的访问地址为准。</w:t>
      </w:r>
    </w:p>
    <w:p w14:paraId="7DB52E07">
      <w:pPr>
        <w:spacing w:line="360" w:lineRule="auto"/>
        <w:rPr>
          <w:rFonts w:ascii="宋体" w:hAnsi="宋体" w:eastAsia="宋体"/>
        </w:rPr>
      </w:pPr>
      <w:r>
        <w:drawing>
          <wp:inline distT="0" distB="0" distL="0" distR="0">
            <wp:extent cx="5278120" cy="280797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80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24D24">
      <w:pPr>
        <w:spacing w:line="360" w:lineRule="auto"/>
        <w:jc w:val="left"/>
        <w:rPr>
          <w:rFonts w:ascii="宋体" w:hAnsi="宋体" w:eastAsia="宋体"/>
        </w:rPr>
      </w:pPr>
    </w:p>
    <w:p w14:paraId="4B407098">
      <w:pPr>
        <w:spacing w:line="360" w:lineRule="auto"/>
        <w:jc w:val="left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正常的采集界面如下：</w:t>
      </w:r>
      <w:r>
        <w:rPr>
          <w:rFonts w:ascii="宋体" w:hAnsi="宋体" w:eastAsia="宋体"/>
          <w:sz w:val="24"/>
          <w:szCs w:val="24"/>
        </w:rPr>
        <w:tab/>
      </w:r>
    </w:p>
    <w:p w14:paraId="022C5495">
      <w:pPr>
        <w:spacing w:line="360" w:lineRule="auto"/>
        <w:jc w:val="left"/>
        <w:rPr>
          <w:rFonts w:ascii="宋体" w:hAnsi="宋体" w:eastAsia="宋体"/>
        </w:rPr>
      </w:pPr>
      <w:r>
        <w:rPr>
          <w:rFonts w:hint="eastAsia" w:ascii="宋体" w:hAnsi="宋体" w:eastAsia="宋体"/>
        </w:rPr>
        <w:drawing>
          <wp:inline distT="0" distB="0" distL="0" distR="0">
            <wp:extent cx="5278120" cy="2272030"/>
            <wp:effectExtent l="0" t="0" r="0" b="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72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5980A">
      <w:pPr>
        <w:pStyle w:val="3"/>
        <w:numPr>
          <w:ilvl w:val="0"/>
          <w:numId w:val="1"/>
        </w:numPr>
        <w:spacing w:before="156" w:beforeLines="50" w:after="156" w:afterLines="50" w:line="360" w:lineRule="auto"/>
        <w:rPr>
          <w:rFonts w:ascii="宋体" w:hAnsi="宋体" w:eastAsia="宋体"/>
        </w:rPr>
      </w:pPr>
      <w:bookmarkStart w:id="44" w:name="_Toc112698153"/>
      <w:r>
        <w:rPr>
          <w:rFonts w:hint="eastAsia" w:ascii="宋体" w:hAnsi="宋体" w:eastAsia="宋体"/>
        </w:rPr>
        <w:t>信息采集界面布局</w:t>
      </w:r>
      <w:bookmarkEnd w:id="44"/>
    </w:p>
    <w:p w14:paraId="4696B584">
      <w:p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界面布局及对应的描述如下图所示：</w:t>
      </w:r>
    </w:p>
    <w:p w14:paraId="1EBE5981">
      <w:pPr>
        <w:spacing w:line="360" w:lineRule="auto"/>
        <w:rPr>
          <w:rFonts w:ascii="宋体" w:hAnsi="宋体" w:eastAsia="宋体"/>
        </w:rPr>
      </w:pPr>
      <w:r>
        <w:rPr>
          <w:rFonts w:ascii="宋体" w:hAnsi="宋体" w:eastAsia="宋体"/>
        </w:rPr>
        <w:drawing>
          <wp:inline distT="0" distB="0" distL="0" distR="0">
            <wp:extent cx="5274310" cy="2576195"/>
            <wp:effectExtent l="0" t="0" r="2540" b="0"/>
            <wp:docPr id="12" name="图片 12" descr="图形用户界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图形用户界面&#10;&#10;描述已自动生成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76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C6775">
      <w:pPr>
        <w:pStyle w:val="3"/>
        <w:numPr>
          <w:ilvl w:val="0"/>
          <w:numId w:val="1"/>
        </w:numPr>
        <w:spacing w:before="156" w:beforeLines="50" w:after="156" w:afterLines="50" w:line="360" w:lineRule="auto"/>
        <w:rPr>
          <w:rFonts w:ascii="宋体" w:hAnsi="宋体" w:eastAsia="宋体"/>
        </w:rPr>
      </w:pPr>
      <w:bookmarkStart w:id="45" w:name="_Toc112698154"/>
      <w:r>
        <w:rPr>
          <w:rFonts w:hint="eastAsia" w:ascii="宋体" w:hAnsi="宋体" w:eastAsia="宋体"/>
        </w:rPr>
        <w:t>信息采集操作步骤</w:t>
      </w:r>
      <w:bookmarkEnd w:id="45"/>
    </w:p>
    <w:p w14:paraId="4A99B2D1">
      <w:pPr>
        <w:pStyle w:val="21"/>
        <w:numPr>
          <w:ilvl w:val="0"/>
          <w:numId w:val="5"/>
        </w:numPr>
        <w:spacing w:line="360" w:lineRule="auto"/>
        <w:ind w:firstLineChars="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学生放置身份证到身份证扫描仪，并面对摄像头，保持面部在摄像头采集范围内</w:t>
      </w:r>
    </w:p>
    <w:p w14:paraId="056DE86D">
      <w:pPr>
        <w:pStyle w:val="21"/>
        <w:numPr>
          <w:ilvl w:val="0"/>
          <w:numId w:val="5"/>
        </w:numPr>
        <w:spacing w:line="360" w:lineRule="auto"/>
        <w:ind w:firstLineChars="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系统自动读取身份证信息并显示在采集界面，身份证信息获取后可以取走身份证</w:t>
      </w:r>
    </w:p>
    <w:p w14:paraId="647A51AC">
      <w:pPr>
        <w:pStyle w:val="21"/>
        <w:numPr>
          <w:ilvl w:val="0"/>
          <w:numId w:val="5"/>
        </w:numPr>
        <w:spacing w:line="360" w:lineRule="auto"/>
        <w:ind w:firstLineChars="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点击“手动拍照”，采集客户端会上传身份证及采集照片信息至后台系统，后台系统会执行学生信息的匹配及照片对比，成功后返回学生信息及图片对比结果。</w:t>
      </w:r>
    </w:p>
    <w:p w14:paraId="439C168A">
      <w:pPr>
        <w:pStyle w:val="21"/>
        <w:numPr>
          <w:ilvl w:val="0"/>
          <w:numId w:val="5"/>
        </w:numPr>
        <w:spacing w:line="360" w:lineRule="auto"/>
        <w:ind w:firstLineChars="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采集人可以根据当前的采集结果进行如下操作：</w:t>
      </w:r>
    </w:p>
    <w:p w14:paraId="56198AEB">
      <w:pPr>
        <w:pStyle w:val="21"/>
        <w:numPr>
          <w:ilvl w:val="1"/>
          <w:numId w:val="5"/>
        </w:numPr>
        <w:spacing w:line="360" w:lineRule="auto"/>
        <w:ind w:firstLineChars="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采集信息入库： 点击“保存”按钮将当前的采集信息入库，执行下一个学生的采集</w:t>
      </w:r>
    </w:p>
    <w:p w14:paraId="2CF32A98">
      <w:pPr>
        <w:pStyle w:val="21"/>
        <w:numPr>
          <w:ilvl w:val="1"/>
          <w:numId w:val="5"/>
        </w:numPr>
        <w:spacing w:line="360" w:lineRule="auto"/>
        <w:ind w:firstLineChars="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重新采集：如当前采集照片不理想，可以再次点击“手动拍照”重新进行信息的上传与对比</w:t>
      </w:r>
    </w:p>
    <w:p w14:paraId="673F0ED8">
      <w:pPr>
        <w:pStyle w:val="21"/>
        <w:numPr>
          <w:ilvl w:val="1"/>
          <w:numId w:val="5"/>
        </w:numPr>
        <w:spacing w:line="360" w:lineRule="auto"/>
        <w:ind w:firstLineChars="0"/>
        <w:rPr>
          <w:rFonts w:ascii="宋体" w:hAnsi="宋体" w:eastAsia="宋体"/>
        </w:rPr>
      </w:pPr>
      <w:r>
        <w:rPr>
          <w:rFonts w:hint="eastAsia" w:ascii="宋体" w:hAnsi="宋体" w:eastAsia="宋体"/>
          <w:sz w:val="24"/>
          <w:szCs w:val="24"/>
        </w:rPr>
        <w:t>重置信息： 点击“重置”，放弃当前的采集</w:t>
      </w:r>
    </w:p>
    <w:p w14:paraId="42DDCAFD">
      <w:pPr>
        <w:spacing w:line="360" w:lineRule="auto"/>
        <w:ind w:left="420"/>
        <w:rPr>
          <w:rFonts w:ascii="宋体" w:hAnsi="宋体" w:eastAsia="宋体"/>
          <w:b/>
          <w:bCs/>
        </w:rPr>
      </w:pPr>
      <w:r>
        <w:rPr>
          <w:rFonts w:hint="eastAsia" w:ascii="宋体" w:hAnsi="宋体" w:eastAsia="宋体"/>
          <w:b/>
          <w:bCs/>
        </w:rPr>
        <w:t>注：采集过程需要避免的情况</w:t>
      </w:r>
    </w:p>
    <w:p w14:paraId="42094B3D">
      <w:pPr>
        <w:spacing w:line="360" w:lineRule="auto"/>
        <w:jc w:val="center"/>
        <w:rPr>
          <w:rFonts w:ascii="宋体" w:hAnsi="宋体" w:eastAsia="宋体"/>
          <w:b/>
          <w:bCs/>
        </w:rPr>
      </w:pPr>
      <w:r>
        <w:rPr>
          <w:rFonts w:hint="eastAsia" w:ascii="宋体" w:hAnsi="宋体" w:eastAsia="宋体"/>
          <w:b/>
          <w:bCs/>
        </w:rPr>
        <w:drawing>
          <wp:inline distT="0" distB="0" distL="0" distR="0">
            <wp:extent cx="3790950" cy="2853055"/>
            <wp:effectExtent l="0" t="0" r="0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29098" cy="2882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296455">
      <w:pPr>
        <w:pStyle w:val="3"/>
        <w:numPr>
          <w:ilvl w:val="0"/>
          <w:numId w:val="1"/>
        </w:numPr>
        <w:spacing w:before="156" w:beforeLines="50" w:after="156" w:afterLines="50" w:line="360" w:lineRule="auto"/>
        <w:rPr>
          <w:rFonts w:ascii="宋体" w:hAnsi="宋体" w:eastAsia="宋体"/>
        </w:rPr>
      </w:pPr>
      <w:bookmarkStart w:id="46" w:name="_Toc80027510"/>
      <w:bookmarkStart w:id="47" w:name="_Toc112698155"/>
      <w:r>
        <w:rPr>
          <w:rFonts w:hint="eastAsia" w:ascii="宋体" w:hAnsi="宋体" w:eastAsia="宋体"/>
        </w:rPr>
        <w:t>采集结果</w:t>
      </w:r>
      <w:bookmarkEnd w:id="46"/>
      <w:r>
        <w:rPr>
          <w:rFonts w:hint="eastAsia" w:ascii="宋体" w:hAnsi="宋体" w:eastAsia="宋体"/>
        </w:rPr>
        <w:t>信息</w:t>
      </w:r>
      <w:bookmarkEnd w:id="47"/>
    </w:p>
    <w:p w14:paraId="43FB1859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采集人可以在采集记录界面查看当前的采集状态及进展，支持“采集状态”、“学院名称”、“专业名称”等多种条件的筛选功能，并提供Excel文件导出功能。</w:t>
      </w:r>
    </w:p>
    <w:p w14:paraId="3B028ACA">
      <w:pPr>
        <w:spacing w:line="360" w:lineRule="auto"/>
      </w:pPr>
      <w:r>
        <w:rPr>
          <w:rFonts w:ascii="宋体" w:hAnsi="宋体" w:eastAsia="宋体"/>
        </w:rPr>
        <w:drawing>
          <wp:inline distT="0" distB="0" distL="0" distR="0">
            <wp:extent cx="5278120" cy="2107565"/>
            <wp:effectExtent l="0" t="0" r="0" b="6985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107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6A9D6">
      <w:pPr>
        <w:pStyle w:val="3"/>
        <w:numPr>
          <w:ilvl w:val="0"/>
          <w:numId w:val="1"/>
        </w:numPr>
        <w:spacing w:before="156" w:beforeLines="50" w:after="156" w:afterLines="50" w:line="360" w:lineRule="auto"/>
        <w:rPr>
          <w:rFonts w:ascii="宋体" w:hAnsi="宋体" w:eastAsia="宋体"/>
        </w:rPr>
      </w:pPr>
      <w:bookmarkStart w:id="48" w:name="_Toc112698156"/>
      <w:r>
        <w:rPr>
          <w:rFonts w:hint="eastAsia" w:ascii="宋体" w:hAnsi="宋体" w:eastAsia="宋体"/>
        </w:rPr>
        <w:t>资格审核汇总表导出</w:t>
      </w:r>
      <w:bookmarkEnd w:id="48"/>
    </w:p>
    <w:p w14:paraId="286E4969">
      <w:pPr>
        <w:jc w:val="center"/>
      </w:pPr>
      <w:r>
        <w:drawing>
          <wp:inline distT="0" distB="0" distL="0" distR="0">
            <wp:extent cx="5278120" cy="583628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583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AB6C9">
      <w:pPr>
        <w:pStyle w:val="3"/>
        <w:numPr>
          <w:ilvl w:val="0"/>
          <w:numId w:val="1"/>
        </w:numPr>
        <w:spacing w:before="156" w:beforeLines="50" w:after="156" w:afterLines="50" w:line="360" w:lineRule="auto"/>
        <w:rPr>
          <w:rFonts w:ascii="宋体" w:hAnsi="宋体" w:eastAsia="宋体"/>
        </w:rPr>
      </w:pPr>
      <w:bookmarkStart w:id="49" w:name="_Toc112698157"/>
      <w:r>
        <w:rPr>
          <w:rFonts w:hint="eastAsia" w:ascii="宋体" w:hAnsi="宋体" w:eastAsia="宋体"/>
        </w:rPr>
        <w:t>资格复查信息表导出</w:t>
      </w:r>
      <w:bookmarkEnd w:id="49"/>
    </w:p>
    <w:p w14:paraId="3B504008">
      <w:pPr>
        <w:jc w:val="center"/>
      </w:pPr>
      <w:r>
        <w:drawing>
          <wp:inline distT="0" distB="0" distL="0" distR="0">
            <wp:extent cx="5180330" cy="7256780"/>
            <wp:effectExtent l="0" t="0" r="1270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0952" cy="72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CED3A">
      <w:pPr>
        <w:spacing w:line="360" w:lineRule="auto"/>
      </w:pPr>
    </w:p>
    <w:p w14:paraId="1AEC622D">
      <w:pPr>
        <w:spacing w:line="360" w:lineRule="auto"/>
      </w:pPr>
    </w:p>
    <w:sectPr>
      <w:footerReference r:id="rId3" w:type="default"/>
      <w:pgSz w:w="11906" w:h="16838"/>
      <w:pgMar w:top="1440" w:right="1797" w:bottom="1440" w:left="1797" w:header="851" w:footer="992" w:gutter="0"/>
      <w:pgNumType w:start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999103943"/>
      <w:docPartObj>
        <w:docPartGallery w:val="AutoText"/>
      </w:docPartObj>
    </w:sdtPr>
    <w:sdtContent>
      <w:p w14:paraId="5E4428C0">
        <w:pPr>
          <w:pStyle w:val="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2F41498">
    <w:pPr>
      <w:pStyle w:val="7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367911"/>
    <w:multiLevelType w:val="multilevel"/>
    <w:tmpl w:val="48367911"/>
    <w:lvl w:ilvl="0" w:tentative="0">
      <w:start w:val="1"/>
      <w:numFmt w:val="decimal"/>
      <w:lvlText w:val="%1."/>
      <w:lvlJc w:val="left"/>
      <w:pPr>
        <w:ind w:left="425" w:hanging="425"/>
      </w:pPr>
    </w:lvl>
    <w:lvl w:ilvl="1" w:tentative="0">
      <w:start w:val="1"/>
      <w:numFmt w:val="decimal"/>
      <w:lvlText w:val="%1.%2."/>
      <w:lvlJc w:val="left"/>
      <w:pPr>
        <w:ind w:left="567" w:hanging="567"/>
      </w:pPr>
    </w:lvl>
    <w:lvl w:ilvl="2" w:tentative="0">
      <w:start w:val="1"/>
      <w:numFmt w:val="decimal"/>
      <w:lvlText w:val="%1.%2.%3."/>
      <w:lvlJc w:val="left"/>
      <w:pPr>
        <w:ind w:left="709" w:hanging="709"/>
      </w:pPr>
    </w:lvl>
    <w:lvl w:ilvl="3" w:tentative="0">
      <w:start w:val="1"/>
      <w:numFmt w:val="decimal"/>
      <w:lvlText w:val="%1.%2.%3.%4."/>
      <w:lvlJc w:val="left"/>
      <w:pPr>
        <w:ind w:left="851" w:hanging="851"/>
      </w:pPr>
    </w:lvl>
    <w:lvl w:ilvl="4" w:tentative="0">
      <w:start w:val="1"/>
      <w:numFmt w:val="decimal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4" w:hanging="1134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">
    <w:nsid w:val="56D73819"/>
    <w:multiLevelType w:val="multilevel"/>
    <w:tmpl w:val="56D73819"/>
    <w:lvl w:ilvl="0" w:tentative="0">
      <w:start w:val="1"/>
      <w:numFmt w:val="decimal"/>
      <w:lvlText w:val="%1)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BB60473"/>
    <w:multiLevelType w:val="multilevel"/>
    <w:tmpl w:val="6BB60473"/>
    <w:lvl w:ilvl="0" w:tentative="0">
      <w:start w:val="1"/>
      <w:numFmt w:val="decimal"/>
      <w:lvlText w:val="%1)"/>
      <w:lvlJc w:val="left"/>
      <w:pPr>
        <w:ind w:left="839" w:hanging="420"/>
      </w:pPr>
    </w:lvl>
    <w:lvl w:ilvl="1" w:tentative="0">
      <w:start w:val="1"/>
      <w:numFmt w:val="lowerLetter"/>
      <w:lvlText w:val="%2)"/>
      <w:lvlJc w:val="left"/>
      <w:pPr>
        <w:ind w:left="1259" w:hanging="420"/>
      </w:pPr>
    </w:lvl>
    <w:lvl w:ilvl="2" w:tentative="0">
      <w:start w:val="1"/>
      <w:numFmt w:val="lowerRoman"/>
      <w:lvlText w:val="%3."/>
      <w:lvlJc w:val="right"/>
      <w:pPr>
        <w:ind w:left="1679" w:hanging="420"/>
      </w:pPr>
    </w:lvl>
    <w:lvl w:ilvl="3" w:tentative="0">
      <w:start w:val="1"/>
      <w:numFmt w:val="decimal"/>
      <w:lvlText w:val="%4."/>
      <w:lvlJc w:val="left"/>
      <w:pPr>
        <w:ind w:left="2099" w:hanging="420"/>
      </w:pPr>
    </w:lvl>
    <w:lvl w:ilvl="4" w:tentative="0">
      <w:start w:val="1"/>
      <w:numFmt w:val="lowerLetter"/>
      <w:lvlText w:val="%5)"/>
      <w:lvlJc w:val="left"/>
      <w:pPr>
        <w:ind w:left="2519" w:hanging="420"/>
      </w:pPr>
    </w:lvl>
    <w:lvl w:ilvl="5" w:tentative="0">
      <w:start w:val="1"/>
      <w:numFmt w:val="lowerRoman"/>
      <w:lvlText w:val="%6."/>
      <w:lvlJc w:val="right"/>
      <w:pPr>
        <w:ind w:left="2939" w:hanging="420"/>
      </w:pPr>
    </w:lvl>
    <w:lvl w:ilvl="6" w:tentative="0">
      <w:start w:val="1"/>
      <w:numFmt w:val="decimal"/>
      <w:lvlText w:val="%7."/>
      <w:lvlJc w:val="left"/>
      <w:pPr>
        <w:ind w:left="3359" w:hanging="420"/>
      </w:pPr>
    </w:lvl>
    <w:lvl w:ilvl="7" w:tentative="0">
      <w:start w:val="1"/>
      <w:numFmt w:val="lowerLetter"/>
      <w:lvlText w:val="%8)"/>
      <w:lvlJc w:val="left"/>
      <w:pPr>
        <w:ind w:left="3779" w:hanging="420"/>
      </w:pPr>
    </w:lvl>
    <w:lvl w:ilvl="8" w:tentative="0">
      <w:start w:val="1"/>
      <w:numFmt w:val="lowerRoman"/>
      <w:lvlText w:val="%9."/>
      <w:lvlJc w:val="right"/>
      <w:pPr>
        <w:ind w:left="4199" w:hanging="420"/>
      </w:pPr>
    </w:lvl>
  </w:abstractNum>
  <w:abstractNum w:abstractNumId="3">
    <w:nsid w:val="73B37A22"/>
    <w:multiLevelType w:val="multilevel"/>
    <w:tmpl w:val="73B37A22"/>
    <w:lvl w:ilvl="0" w:tentative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ind w:left="992" w:hanging="992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1418" w:hanging="1134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4">
    <w:nsid w:val="7EA97652"/>
    <w:multiLevelType w:val="multilevel"/>
    <w:tmpl w:val="7EA97652"/>
    <w:lvl w:ilvl="0" w:tentative="0">
      <w:start w:val="1"/>
      <w:numFmt w:val="decimal"/>
      <w:lvlText w:val="%1."/>
      <w:lvlJc w:val="left"/>
      <w:pPr>
        <w:ind w:left="425" w:hanging="425"/>
      </w:pPr>
    </w:lvl>
    <w:lvl w:ilvl="1" w:tentative="0">
      <w:start w:val="1"/>
      <w:numFmt w:val="decimal"/>
      <w:lvlText w:val="%1.%2."/>
      <w:lvlJc w:val="left"/>
      <w:pPr>
        <w:ind w:left="567" w:hanging="567"/>
      </w:pPr>
    </w:lvl>
    <w:lvl w:ilvl="2" w:tentative="0">
      <w:start w:val="1"/>
      <w:numFmt w:val="decimal"/>
      <w:lvlText w:val="%1.%2.%3."/>
      <w:lvlJc w:val="left"/>
      <w:pPr>
        <w:ind w:left="709" w:hanging="709"/>
      </w:pPr>
    </w:lvl>
    <w:lvl w:ilvl="3" w:tentative="0">
      <w:start w:val="1"/>
      <w:numFmt w:val="decimal"/>
      <w:lvlText w:val="%1.%2.%3.%4."/>
      <w:lvlJc w:val="left"/>
      <w:pPr>
        <w:ind w:left="851" w:hanging="851"/>
      </w:pPr>
    </w:lvl>
    <w:lvl w:ilvl="4" w:tentative="0">
      <w:start w:val="1"/>
      <w:numFmt w:val="decimal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4" w:hanging="1134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7C8"/>
    <w:rsid w:val="00013134"/>
    <w:rsid w:val="0002594F"/>
    <w:rsid w:val="00060798"/>
    <w:rsid w:val="000771AA"/>
    <w:rsid w:val="00084138"/>
    <w:rsid w:val="000868CC"/>
    <w:rsid w:val="00093F49"/>
    <w:rsid w:val="000A0FD8"/>
    <w:rsid w:val="000A3AEE"/>
    <w:rsid w:val="000B0BD1"/>
    <w:rsid w:val="000B3CFD"/>
    <w:rsid w:val="000C5D81"/>
    <w:rsid w:val="000C5EC7"/>
    <w:rsid w:val="000F7F17"/>
    <w:rsid w:val="00103F6C"/>
    <w:rsid w:val="00134569"/>
    <w:rsid w:val="00146546"/>
    <w:rsid w:val="00146C6C"/>
    <w:rsid w:val="00154682"/>
    <w:rsid w:val="00163D9B"/>
    <w:rsid w:val="00180C59"/>
    <w:rsid w:val="001D4736"/>
    <w:rsid w:val="001E6982"/>
    <w:rsid w:val="001F0C69"/>
    <w:rsid w:val="0020609B"/>
    <w:rsid w:val="00217A18"/>
    <w:rsid w:val="002305A9"/>
    <w:rsid w:val="00233679"/>
    <w:rsid w:val="00254B94"/>
    <w:rsid w:val="00254D5A"/>
    <w:rsid w:val="002701A8"/>
    <w:rsid w:val="002842D6"/>
    <w:rsid w:val="002A649C"/>
    <w:rsid w:val="002C4A03"/>
    <w:rsid w:val="002D037E"/>
    <w:rsid w:val="002D4171"/>
    <w:rsid w:val="002F6C4A"/>
    <w:rsid w:val="003019FE"/>
    <w:rsid w:val="00336E64"/>
    <w:rsid w:val="003440DF"/>
    <w:rsid w:val="003477C8"/>
    <w:rsid w:val="003641CC"/>
    <w:rsid w:val="0038161B"/>
    <w:rsid w:val="003A4AEA"/>
    <w:rsid w:val="003A753E"/>
    <w:rsid w:val="003E1770"/>
    <w:rsid w:val="003E1FFA"/>
    <w:rsid w:val="00405529"/>
    <w:rsid w:val="00412360"/>
    <w:rsid w:val="00430166"/>
    <w:rsid w:val="00434533"/>
    <w:rsid w:val="00445C6A"/>
    <w:rsid w:val="00451F3C"/>
    <w:rsid w:val="00467E8C"/>
    <w:rsid w:val="00485CE5"/>
    <w:rsid w:val="004A7FAA"/>
    <w:rsid w:val="004B4EAA"/>
    <w:rsid w:val="004C4AEF"/>
    <w:rsid w:val="005332DD"/>
    <w:rsid w:val="00534980"/>
    <w:rsid w:val="0054068C"/>
    <w:rsid w:val="00555836"/>
    <w:rsid w:val="00556133"/>
    <w:rsid w:val="005648BC"/>
    <w:rsid w:val="00583620"/>
    <w:rsid w:val="005854FF"/>
    <w:rsid w:val="005B23B5"/>
    <w:rsid w:val="005B6B50"/>
    <w:rsid w:val="005C26E3"/>
    <w:rsid w:val="005C35E0"/>
    <w:rsid w:val="005D43DB"/>
    <w:rsid w:val="005F643D"/>
    <w:rsid w:val="006048E6"/>
    <w:rsid w:val="006161F2"/>
    <w:rsid w:val="006349FC"/>
    <w:rsid w:val="00657A5E"/>
    <w:rsid w:val="006722FA"/>
    <w:rsid w:val="00682031"/>
    <w:rsid w:val="006959DE"/>
    <w:rsid w:val="006B30CD"/>
    <w:rsid w:val="006C0CC3"/>
    <w:rsid w:val="006D28B6"/>
    <w:rsid w:val="006D3818"/>
    <w:rsid w:val="006E3C3E"/>
    <w:rsid w:val="00702070"/>
    <w:rsid w:val="00706925"/>
    <w:rsid w:val="007153AC"/>
    <w:rsid w:val="007326E8"/>
    <w:rsid w:val="00737B18"/>
    <w:rsid w:val="00750B3F"/>
    <w:rsid w:val="00756183"/>
    <w:rsid w:val="00783006"/>
    <w:rsid w:val="00786A62"/>
    <w:rsid w:val="00790AE1"/>
    <w:rsid w:val="007D0864"/>
    <w:rsid w:val="007E6307"/>
    <w:rsid w:val="007F4AEF"/>
    <w:rsid w:val="00814186"/>
    <w:rsid w:val="00837EFE"/>
    <w:rsid w:val="008544EB"/>
    <w:rsid w:val="0087555C"/>
    <w:rsid w:val="00883E5A"/>
    <w:rsid w:val="008C46DE"/>
    <w:rsid w:val="008C6828"/>
    <w:rsid w:val="009113EA"/>
    <w:rsid w:val="00934E7F"/>
    <w:rsid w:val="0094786C"/>
    <w:rsid w:val="00953174"/>
    <w:rsid w:val="009675C4"/>
    <w:rsid w:val="00973E04"/>
    <w:rsid w:val="00987159"/>
    <w:rsid w:val="0099655C"/>
    <w:rsid w:val="009A6656"/>
    <w:rsid w:val="009B7114"/>
    <w:rsid w:val="009C4F65"/>
    <w:rsid w:val="009C50A6"/>
    <w:rsid w:val="009E140F"/>
    <w:rsid w:val="009E3F84"/>
    <w:rsid w:val="009E4BAE"/>
    <w:rsid w:val="00A01805"/>
    <w:rsid w:val="00A07C44"/>
    <w:rsid w:val="00A11918"/>
    <w:rsid w:val="00A17227"/>
    <w:rsid w:val="00A24885"/>
    <w:rsid w:val="00A57450"/>
    <w:rsid w:val="00A602D4"/>
    <w:rsid w:val="00A673D2"/>
    <w:rsid w:val="00A9121E"/>
    <w:rsid w:val="00AA27A1"/>
    <w:rsid w:val="00AB03A4"/>
    <w:rsid w:val="00AB754E"/>
    <w:rsid w:val="00AC1449"/>
    <w:rsid w:val="00AC44D5"/>
    <w:rsid w:val="00AC6B58"/>
    <w:rsid w:val="00AE111B"/>
    <w:rsid w:val="00AF1CE6"/>
    <w:rsid w:val="00B10E32"/>
    <w:rsid w:val="00B53E29"/>
    <w:rsid w:val="00B5448A"/>
    <w:rsid w:val="00B87C19"/>
    <w:rsid w:val="00BE0A53"/>
    <w:rsid w:val="00BE7B06"/>
    <w:rsid w:val="00C063EF"/>
    <w:rsid w:val="00C15B12"/>
    <w:rsid w:val="00C2796D"/>
    <w:rsid w:val="00C3171F"/>
    <w:rsid w:val="00C3330A"/>
    <w:rsid w:val="00C739FE"/>
    <w:rsid w:val="00C75307"/>
    <w:rsid w:val="00CB212D"/>
    <w:rsid w:val="00D00535"/>
    <w:rsid w:val="00D301D1"/>
    <w:rsid w:val="00D33988"/>
    <w:rsid w:val="00D44F03"/>
    <w:rsid w:val="00D464EA"/>
    <w:rsid w:val="00D73F0B"/>
    <w:rsid w:val="00D7548D"/>
    <w:rsid w:val="00D82C94"/>
    <w:rsid w:val="00DB0CE0"/>
    <w:rsid w:val="00E04215"/>
    <w:rsid w:val="00E135A6"/>
    <w:rsid w:val="00E16135"/>
    <w:rsid w:val="00E23956"/>
    <w:rsid w:val="00E30CF6"/>
    <w:rsid w:val="00E33385"/>
    <w:rsid w:val="00E647D0"/>
    <w:rsid w:val="00E80EB5"/>
    <w:rsid w:val="00E942BD"/>
    <w:rsid w:val="00EB3644"/>
    <w:rsid w:val="00EB6FD7"/>
    <w:rsid w:val="00EB7506"/>
    <w:rsid w:val="00EC761A"/>
    <w:rsid w:val="00ED49D9"/>
    <w:rsid w:val="00EE48F7"/>
    <w:rsid w:val="00EF492A"/>
    <w:rsid w:val="00F05D37"/>
    <w:rsid w:val="00F071D6"/>
    <w:rsid w:val="00F30FA0"/>
    <w:rsid w:val="00F50264"/>
    <w:rsid w:val="00F619D8"/>
    <w:rsid w:val="00F910A5"/>
    <w:rsid w:val="00FA0BA3"/>
    <w:rsid w:val="00FA7C65"/>
    <w:rsid w:val="5A166D8B"/>
    <w:rsid w:val="7E684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6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17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2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4">
    <w:name w:val="Default Paragraph Font"/>
    <w:semiHidden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c 3"/>
    <w:basedOn w:val="1"/>
    <w:next w:val="1"/>
    <w:autoRedefine/>
    <w:unhideWhenUsed/>
    <w:uiPriority w:val="39"/>
    <w:pPr>
      <w:ind w:left="840" w:leftChars="400"/>
    </w:pPr>
  </w:style>
  <w:style w:type="paragraph" w:styleId="7">
    <w:name w:val="footer"/>
    <w:basedOn w:val="1"/>
    <w:link w:val="26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5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autoRedefine/>
    <w:unhideWhenUsed/>
    <w:uiPriority w:val="39"/>
  </w:style>
  <w:style w:type="paragraph" w:styleId="10">
    <w:name w:val="Subtitle"/>
    <w:basedOn w:val="1"/>
    <w:next w:val="1"/>
    <w:link w:val="19"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11">
    <w:name w:val="toc 2"/>
    <w:basedOn w:val="1"/>
    <w:next w:val="1"/>
    <w:autoRedefine/>
    <w:unhideWhenUsed/>
    <w:uiPriority w:val="39"/>
    <w:pPr>
      <w:ind w:left="420" w:leftChars="200"/>
    </w:pPr>
  </w:style>
  <w:style w:type="paragraph" w:styleId="12">
    <w:name w:val="Title"/>
    <w:basedOn w:val="1"/>
    <w:next w:val="1"/>
    <w:link w:val="18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styleId="15">
    <w:name w:val="Hyperlink"/>
    <w:basedOn w:val="14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6">
    <w:name w:val="标题 2 字符"/>
    <w:basedOn w:val="14"/>
    <w:link w:val="3"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7">
    <w:name w:val="标题 3 字符"/>
    <w:basedOn w:val="14"/>
    <w:link w:val="4"/>
    <w:uiPriority w:val="9"/>
    <w:rPr>
      <w:b/>
      <w:bCs/>
      <w:sz w:val="32"/>
      <w:szCs w:val="32"/>
    </w:rPr>
  </w:style>
  <w:style w:type="character" w:customStyle="1" w:styleId="18">
    <w:name w:val="标题 字符"/>
    <w:basedOn w:val="14"/>
    <w:link w:val="12"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9">
    <w:name w:val="副标题 字符"/>
    <w:basedOn w:val="14"/>
    <w:link w:val="10"/>
    <w:uiPriority w:val="11"/>
    <w:rPr>
      <w:b/>
      <w:bCs/>
      <w:kern w:val="28"/>
      <w:sz w:val="32"/>
      <w:szCs w:val="32"/>
    </w:rPr>
  </w:style>
  <w:style w:type="character" w:customStyle="1" w:styleId="20">
    <w:name w:val="Unresolved Mention"/>
    <w:basedOn w:val="14"/>
    <w:semiHidden/>
    <w:unhideWhenUsed/>
    <w:uiPriority w:val="99"/>
    <w:rPr>
      <w:color w:val="605E5C"/>
      <w:shd w:val="clear" w:color="auto" w:fill="E1DFDD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character" w:customStyle="1" w:styleId="22">
    <w:name w:val="标题 4 字符"/>
    <w:basedOn w:val="14"/>
    <w:link w:val="5"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23">
    <w:name w:val="标题 1 字符"/>
    <w:basedOn w:val="14"/>
    <w:link w:val="2"/>
    <w:uiPriority w:val="9"/>
    <w:rPr>
      <w:b/>
      <w:bCs/>
      <w:kern w:val="44"/>
      <w:sz w:val="44"/>
      <w:szCs w:val="44"/>
    </w:rPr>
  </w:style>
  <w:style w:type="paragraph" w:customStyle="1" w:styleId="24">
    <w:name w:val="TOC Heading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character" w:customStyle="1" w:styleId="25">
    <w:name w:val="页眉 字符"/>
    <w:basedOn w:val="14"/>
    <w:link w:val="8"/>
    <w:uiPriority w:val="99"/>
    <w:rPr>
      <w:sz w:val="18"/>
      <w:szCs w:val="18"/>
    </w:rPr>
  </w:style>
  <w:style w:type="character" w:customStyle="1" w:styleId="26">
    <w:name w:val="页脚 字符"/>
    <w:basedOn w:val="14"/>
    <w:link w:val="7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numbering" Target="numbering.xml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719767-EAD6-4E11-B2F7-092242D9648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1045</Words>
  <Characters>1331</Characters>
  <Lines>15</Lines>
  <Paragraphs>4</Paragraphs>
  <TotalTime>8</TotalTime>
  <ScaleCrop>false</ScaleCrop>
  <LinksUpToDate>false</LinksUpToDate>
  <CharactersWithSpaces>1406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2021-09-12T02:10:00Z</dcterms:created>
  <dc:creator>chen jakio</dc:creator>
  <cp:lastModifiedBy>杨蕊嘉</cp:lastModifiedBy>
  <dcterms:modified xsi:type="dcterms:W3CDTF">2026-09-10T00:36:10Z</dcterms:modified>
  <cp:revision>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eyJoZGlkIjoiNzlhYmE1YWMyMmFjNzdlM2E2NjgyZWRhNGE2YTY5NDMiLCJ1c2VySWQiOiIxNjYxNDU5NTQ2In0=</vt:lpwstr>
  </property>
  <property fmtid="{D5CDD505-2E9C-101B-9397-08002B2CF9AE}" pid="3" name="KSOProductBuildVer">
    <vt:lpwstr>2052-12.1.0.28043</vt:lpwstr>
  </property>
  <property fmtid="{D5CDD505-2E9C-101B-9397-08002B2CF9AE}" pid="4" name="ICV">
    <vt:lpwstr>05F872C6CD0B48D1B8CA9CF3BE0E856E_12</vt:lpwstr>
  </property>
</Properties>
</file>